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360" w:lineRule="auto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江西财经大学</w:t>
      </w:r>
    </w:p>
    <w:p>
      <w:pPr>
        <w:spacing w:line="280" w:lineRule="exact"/>
        <w:jc w:val="center"/>
        <w:rPr>
          <w:sz w:val="24"/>
        </w:rPr>
      </w:pPr>
      <w:bookmarkStart w:id="0" w:name="_GoBack"/>
      <w:r>
        <w:rPr>
          <w:rFonts w:hint="eastAsia" w:ascii="黑体" w:hAnsi="宋体" w:eastAsia="黑体"/>
          <w:sz w:val="30"/>
          <w:szCs w:val="30"/>
        </w:rPr>
        <w:t>2018级保险（MI）硕士</w:t>
      </w:r>
      <w:r>
        <w:rPr>
          <w:rFonts w:hint="eastAsia" w:ascii="宋体" w:hAnsi="宋体"/>
          <w:b/>
          <w:sz w:val="30"/>
          <w:szCs w:val="30"/>
        </w:rPr>
        <w:t>专业学位研究生教学课程设置</w:t>
      </w:r>
    </w:p>
    <w:p/>
    <w:bookmarkEnd w:id="0"/>
    <w:tbl>
      <w:tblPr>
        <w:tblStyle w:val="2"/>
        <w:tblW w:w="10112" w:type="dxa"/>
        <w:jc w:val="center"/>
        <w:tblInd w:w="-2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845"/>
        <w:gridCol w:w="540"/>
        <w:gridCol w:w="543"/>
        <w:gridCol w:w="450"/>
        <w:gridCol w:w="450"/>
        <w:gridCol w:w="450"/>
        <w:gridCol w:w="431"/>
        <w:gridCol w:w="1591"/>
        <w:gridCol w:w="1150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5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2845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540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543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781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期</w:t>
            </w:r>
          </w:p>
        </w:tc>
        <w:tc>
          <w:tcPr>
            <w:tcW w:w="1591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开课学院</w:t>
            </w:r>
          </w:p>
        </w:tc>
        <w:tc>
          <w:tcPr>
            <w:tcW w:w="116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4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1591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65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公共基础课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szCs w:val="21"/>
              </w:rPr>
              <w:t>学分</w:t>
            </w:r>
          </w:p>
        </w:tc>
        <w:tc>
          <w:tcPr>
            <w:tcW w:w="28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英语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外语学院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65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8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中国特色社会主义理论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经济学院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52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专业必修课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Cs w:val="21"/>
              </w:rPr>
              <w:t>7学分</w:t>
            </w:r>
          </w:p>
        </w:tc>
        <w:tc>
          <w:tcPr>
            <w:tcW w:w="28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金融理论与政策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金融学院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652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84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保险理论与实务 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48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金融学院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652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人身保险专题（24+8）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金融学院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业界老师上8节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652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财产保险专题（24+8）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金融学院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业界老师上8节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652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保险财务分析（24+8）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金融学院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业界老师上8节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52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风险模型与定价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48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金融学院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与FRM班合班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52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核保理赔实务（16+16）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金融学院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业界老师上16节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49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公共基础课、必修课学分、学时小计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52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5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选修课（必选）4个学分</w:t>
            </w:r>
          </w:p>
        </w:tc>
        <w:tc>
          <w:tcPr>
            <w:tcW w:w="28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高等非寿险精算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金融学院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5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84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合同法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法学院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5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选修课（至少选修</w:t>
            </w:r>
            <w:r>
              <w:rPr>
                <w:rFonts w:ascii="仿宋_GB2312" w:hAnsi="宋体" w:eastAsia="仿宋_GB2312" w:cs="宋体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szCs w:val="21"/>
              </w:rPr>
              <w:t>个学分）</w:t>
            </w:r>
          </w:p>
        </w:tc>
        <w:tc>
          <w:tcPr>
            <w:tcW w:w="284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金融机构风险管理（金融专硕合班）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金融学院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保险中介管理（16+16）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金融学院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业界老师上16节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保险公司经营管理专题（16+16）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金融学院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业界老师上16节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保险营销专题（16+16）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金融学院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业界老师上16节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学位论文指导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449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选修课学分、学时小计不少于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128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449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实践活动（职业规范与伦理训练，学术活动学分，实务实习）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49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学时、学分共计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40</w:t>
            </w:r>
          </w:p>
        </w:tc>
        <w:tc>
          <w:tcPr>
            <w:tcW w:w="543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512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25" w:hRule="atLeast"/>
          <w:jc w:val="center"/>
        </w:trPr>
        <w:tc>
          <w:tcPr>
            <w:tcW w:w="165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先修课</w:t>
            </w:r>
          </w:p>
        </w:tc>
        <w:tc>
          <w:tcPr>
            <w:tcW w:w="845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right="113"/>
              <w:rPr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完成江西财经大学保险本科专业保险学、经济学等主干课程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8718E"/>
    <w:rsid w:val="606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2019-03-22T10:22:00Z</dcterms:created>
  <dc:creator>Lovericer</dc:creator>
  <cp:lastModifiedBy>Lovericer</cp:lastModifiedBy>
  <dcterms:modified xsi:type="dcterms:W3CDTF">2019-03-22T10:23:22Z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