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江西财经大学</w:t>
      </w:r>
      <w:bookmarkStart w:id="0" w:name="_GoBack"/>
      <w:bookmarkEnd w:id="0"/>
      <w:r>
        <w:rPr>
          <w:rFonts w:hint="eastAsia" w:ascii="黑体" w:hAnsi="宋体" w:eastAsia="黑体"/>
          <w:bCs/>
          <w:sz w:val="32"/>
          <w:szCs w:val="32"/>
        </w:rPr>
        <w:t>硕士研究生课程设置</w:t>
      </w:r>
    </w:p>
    <w:p>
      <w:pPr>
        <w:jc w:val="center"/>
        <w:rPr>
          <w:rFonts w:hint="eastAsia"/>
        </w:rPr>
      </w:pPr>
      <w:r>
        <w:rPr>
          <w:rFonts w:hint="eastAsia" w:hAnsi="仿宋" w:eastAsia="仿宋"/>
          <w:sz w:val="24"/>
        </w:rPr>
        <w:t xml:space="preserve">2018级 </w:t>
      </w:r>
      <w:r>
        <w:rPr>
          <w:rFonts w:hint="eastAsia" w:ascii="宋体" w:hAnsi="宋体"/>
          <w:sz w:val="24"/>
          <w:u w:val="single"/>
        </w:rPr>
        <w:t xml:space="preserve">金融学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 xml:space="preserve"> 专业</w:t>
      </w:r>
    </w:p>
    <w:tbl>
      <w:tblPr>
        <w:tblStyle w:val="4"/>
        <w:tblW w:w="99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492"/>
        <w:gridCol w:w="381"/>
        <w:gridCol w:w="2324"/>
        <w:gridCol w:w="652"/>
        <w:gridCol w:w="652"/>
        <w:gridCol w:w="474"/>
        <w:gridCol w:w="406"/>
        <w:gridCol w:w="378"/>
        <w:gridCol w:w="391"/>
        <w:gridCol w:w="392"/>
        <w:gridCol w:w="420"/>
        <w:gridCol w:w="1650"/>
        <w:gridCol w:w="6"/>
        <w:gridCol w:w="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270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 程 名 称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65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246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期</w:t>
            </w:r>
          </w:p>
        </w:tc>
        <w:tc>
          <w:tcPr>
            <w:tcW w:w="165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开课学院</w:t>
            </w:r>
          </w:p>
        </w:tc>
        <w:tc>
          <w:tcPr>
            <w:tcW w:w="84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165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必修课</w:t>
            </w:r>
          </w:p>
        </w:tc>
        <w:tc>
          <w:tcPr>
            <w:tcW w:w="4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学位课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中国特色社会主义理论与实践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马克思主义学院</w:t>
            </w:r>
          </w:p>
        </w:tc>
        <w:tc>
          <w:tcPr>
            <w:tcW w:w="8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学术英语谈写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noWrap w:val="0"/>
            <w:vAlign w:val="top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外语学院</w:t>
            </w:r>
          </w:p>
        </w:tc>
        <w:tc>
          <w:tcPr>
            <w:tcW w:w="8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学术英语听说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noWrap w:val="0"/>
            <w:vAlign w:val="top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外语学院</w:t>
            </w:r>
          </w:p>
        </w:tc>
        <w:tc>
          <w:tcPr>
            <w:tcW w:w="8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高级微观经济学Ⅰ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经济学院</w:t>
            </w:r>
          </w:p>
        </w:tc>
        <w:tc>
          <w:tcPr>
            <w:tcW w:w="8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高级宏观经济学Ⅰ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经济学院</w:t>
            </w:r>
          </w:p>
        </w:tc>
        <w:tc>
          <w:tcPr>
            <w:tcW w:w="84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必修课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马克思主义与社会科学方法论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马克思主义学院</w:t>
            </w:r>
          </w:p>
        </w:tc>
        <w:tc>
          <w:tcPr>
            <w:tcW w:w="84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金融计量学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公司金融理论与实务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68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公共基础课、必修课学分、学时合计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304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专业课</w:t>
            </w:r>
          </w:p>
        </w:tc>
        <w:tc>
          <w:tcPr>
            <w:tcW w:w="49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学位课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货币金融理论与政策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国际金融理论与实务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noWrap w:val="0"/>
            <w:vAlign w:val="top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证券投资理论与实务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noWrap w:val="0"/>
            <w:vAlign w:val="top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金融工程原理与应用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必修课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金融经济学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实证金融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金融风险管理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6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专业必修课学分、学时合计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320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专业选修课</w:t>
            </w:r>
          </w:p>
        </w:tc>
        <w:tc>
          <w:tcPr>
            <w:tcW w:w="38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宏观类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商业银行实务研究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每位研究生须至少选4个学分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金融创新与金融监管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汇率理论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微观类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固定收益证券分析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公司并购与重组（英）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科技金融创新与实践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方法类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金融学研究方法论 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金融大数据分析与编程建模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金融理论文献研读与分析报告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量化投资分析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金融学院</w:t>
            </w: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专业选修课学分、学时合计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6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64</w:t>
            </w:r>
          </w:p>
        </w:tc>
        <w:tc>
          <w:tcPr>
            <w:tcW w:w="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0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9955" w:type="dxa"/>
            <w:gridSpan w:val="15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先修课：金融计量学（本科层次）、统计学、中级财务会计。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选修课：学生应在导师指导下选修相关，在第二至四学期修读，每位研究生须至少选4个学分。</w:t>
            </w:r>
          </w:p>
        </w:tc>
      </w:tr>
    </w:tbl>
    <w:p>
      <w:pPr>
        <w:pStyle w:val="2"/>
        <w:adjustRightInd w:val="0"/>
        <w:snapToGrid w:val="0"/>
        <w:spacing w:line="440" w:lineRule="atLeas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四、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考试与考查</w:t>
      </w:r>
    </w:p>
    <w:p>
      <w:pPr>
        <w:pStyle w:val="2"/>
        <w:adjustRightInd w:val="0"/>
        <w:snapToGrid w:val="0"/>
        <w:spacing w:line="440" w:lineRule="atLeast"/>
        <w:ind w:left="980" w:leftChars="200" w:hanging="560" w:hanging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 所有学位课，必修课，一律以闭卷形式考试，平时成绩不得超过40%，最终成绩必须为百分制。</w:t>
      </w:r>
    </w:p>
    <w:p>
      <w:pPr>
        <w:pStyle w:val="2"/>
        <w:adjustRightInd w:val="0"/>
        <w:snapToGrid w:val="0"/>
        <w:spacing w:line="440" w:lineRule="atLeast"/>
        <w:ind w:left="980" w:leftChars="200" w:hanging="560" w:hanging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 选修课可以采用考试或考查形式，最终成绩必须为百分制。</w:t>
      </w:r>
    </w:p>
    <w:p>
      <w:pPr>
        <w:pStyle w:val="2"/>
        <w:adjustRightInd w:val="0"/>
        <w:snapToGrid w:val="0"/>
        <w:spacing w:line="440" w:lineRule="atLeast"/>
        <w:ind w:left="479" w:leftChars="228"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若采用考试形式，要求与必修课相同，一律以闭卷考试，且平时成绩不得超过40%。</w:t>
      </w:r>
    </w:p>
    <w:p>
      <w:pPr>
        <w:pStyle w:val="2"/>
        <w:adjustRightInd w:val="0"/>
        <w:snapToGrid w:val="0"/>
        <w:spacing w:line="440" w:lineRule="atLeast"/>
        <w:ind w:left="479" w:leftChars="228" w:firstLine="420" w:firstLineChars="1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若采用研究报告形式考查，必修提交期中考查和期末考查两份材料，期中考查成绩不少于40%。</w:t>
      </w:r>
    </w:p>
    <w:p>
      <w:pPr>
        <w:pStyle w:val="2"/>
        <w:adjustRightInd w:val="0"/>
        <w:snapToGrid w:val="0"/>
        <w:spacing w:line="440" w:lineRule="atLeast"/>
        <w:ind w:left="840" w:hanging="840" w:hanging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3. 某些特殊课程，如确实需要采取开卷形式考试，须向院学位委员会申请，任课老师需要提供充分的理由。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426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732F"/>
    <w:multiLevelType w:val="multilevel"/>
    <w:tmpl w:val="704C732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944FE"/>
    <w:rsid w:val="24B9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2019-03-22T10:50:00Z</dcterms:created>
  <dc:creator>Lovericer</dc:creator>
  <cp:lastModifiedBy>Lovericer</cp:lastModifiedBy>
  <dcterms:modified xsi:type="dcterms:W3CDTF">2019-03-22T10:51:55Z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